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6B057">
      <w:pPr>
        <w:spacing w:line="460" w:lineRule="exact"/>
        <w:jc w:val="center"/>
        <w:rPr>
          <w:rFonts w:eastAsia="隶书"/>
          <w:b/>
          <w:bCs/>
          <w:sz w:val="44"/>
          <w:szCs w:val="44"/>
        </w:rPr>
      </w:pPr>
      <w:r>
        <w:rPr>
          <w:rFonts w:eastAsia="隶书"/>
          <w:b/>
          <w:bCs/>
          <w:sz w:val="44"/>
          <w:szCs w:val="44"/>
        </w:rPr>
        <w:t>成  交  公  示</w:t>
      </w:r>
    </w:p>
    <w:p w14:paraId="43C67DBF">
      <w:pPr>
        <w:spacing w:line="460" w:lineRule="exact"/>
        <w:jc w:val="center"/>
        <w:rPr>
          <w:rFonts w:eastAsia="隶书"/>
          <w:b/>
          <w:bCs/>
          <w:sz w:val="44"/>
          <w:szCs w:val="44"/>
        </w:rPr>
      </w:pP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7456"/>
      </w:tblGrid>
      <w:tr w14:paraId="2DE9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77" w:type="pct"/>
            <w:vAlign w:val="center"/>
          </w:tcPr>
          <w:p w14:paraId="126D10E7">
            <w:pPr>
              <w:jc w:val="center"/>
              <w:rPr>
                <w:sz w:val="20"/>
              </w:rPr>
            </w:pPr>
            <w:r>
              <w:rPr>
                <w:rFonts w:hint="eastAsia"/>
                <w:sz w:val="20"/>
              </w:rPr>
              <w:t>项目名称</w:t>
            </w:r>
          </w:p>
        </w:tc>
        <w:tc>
          <w:tcPr>
            <w:tcW w:w="3922" w:type="pct"/>
            <w:vAlign w:val="center"/>
          </w:tcPr>
          <w:p w14:paraId="4526DEFF">
            <w:pPr>
              <w:jc w:val="center"/>
              <w:rPr>
                <w:rFonts w:ascii="宋体" w:hAnsi="宋体" w:cs="宋体"/>
                <w:bCs/>
                <w:sz w:val="20"/>
              </w:rPr>
            </w:pPr>
            <w:r>
              <w:rPr>
                <w:rFonts w:hint="default" w:ascii="宋体" w:hAnsi="宋体" w:eastAsia="宋体" w:cs="宋体"/>
                <w:sz w:val="20"/>
                <w:lang w:val="en-US" w:eastAsia="zh-CN"/>
              </w:rPr>
              <w:t>赫章县珠市乡上寨村历史遗留土法炼铅锌废渣污染整治</w:t>
            </w:r>
            <w:r>
              <w:rPr>
                <w:rFonts w:hint="eastAsia" w:ascii="宋体" w:hAnsi="宋体" w:eastAsia="宋体" w:cs="宋体"/>
                <w:sz w:val="20"/>
                <w:lang w:val="en-US" w:eastAsia="zh-CN"/>
              </w:rPr>
              <w:t>工程</w:t>
            </w:r>
          </w:p>
        </w:tc>
      </w:tr>
      <w:tr w14:paraId="79F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pct"/>
            <w:vAlign w:val="center"/>
          </w:tcPr>
          <w:p w14:paraId="585D4548">
            <w:pPr>
              <w:jc w:val="center"/>
              <w:rPr>
                <w:rFonts w:hint="eastAsia"/>
                <w:sz w:val="20"/>
              </w:rPr>
            </w:pPr>
            <w:r>
              <w:rPr>
                <w:rFonts w:hint="eastAsia"/>
                <w:sz w:val="20"/>
              </w:rPr>
              <w:t>采购内容</w:t>
            </w:r>
          </w:p>
        </w:tc>
        <w:tc>
          <w:tcPr>
            <w:tcW w:w="3922" w:type="pct"/>
            <w:vAlign w:val="center"/>
          </w:tcPr>
          <w:p w14:paraId="48E9221B">
            <w:pPr>
              <w:jc w:val="center"/>
              <w:rPr>
                <w:rFonts w:hint="default" w:ascii="宋体" w:hAnsi="宋体" w:eastAsia="宋体" w:cs="宋体"/>
                <w:sz w:val="20"/>
                <w:lang w:val="en-US" w:eastAsia="zh-CN"/>
              </w:rPr>
            </w:pPr>
            <w:r>
              <w:rPr>
                <w:rFonts w:hint="eastAsia" w:ascii="宋体" w:hAnsi="宋体" w:cs="宋体"/>
                <w:sz w:val="20"/>
                <w:lang w:val="en-US" w:eastAsia="zh-CN"/>
              </w:rPr>
              <w:t>招标代理</w:t>
            </w:r>
          </w:p>
        </w:tc>
      </w:tr>
      <w:tr w14:paraId="283B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pct"/>
            <w:vAlign w:val="center"/>
          </w:tcPr>
          <w:p w14:paraId="74F201B7">
            <w:pPr>
              <w:jc w:val="center"/>
              <w:rPr>
                <w:rFonts w:hint="eastAsia" w:eastAsia="宋体"/>
                <w:sz w:val="20"/>
                <w:lang w:val="en-US" w:eastAsia="zh-CN"/>
              </w:rPr>
            </w:pPr>
            <w:r>
              <w:rPr>
                <w:rFonts w:hint="eastAsia"/>
                <w:sz w:val="20"/>
                <w:lang w:val="en-US" w:eastAsia="zh-CN"/>
              </w:rPr>
              <w:t>采购方式</w:t>
            </w:r>
          </w:p>
        </w:tc>
        <w:tc>
          <w:tcPr>
            <w:tcW w:w="3922" w:type="pct"/>
            <w:vAlign w:val="center"/>
          </w:tcPr>
          <w:p w14:paraId="1A3E3E80">
            <w:pPr>
              <w:jc w:val="center"/>
              <w:rPr>
                <w:rFonts w:hint="default" w:ascii="宋体" w:hAnsi="宋体" w:cs="宋体"/>
                <w:sz w:val="20"/>
                <w:lang w:val="en-US" w:eastAsia="zh-CN"/>
              </w:rPr>
            </w:pPr>
            <w:r>
              <w:rPr>
                <w:rFonts w:hint="eastAsia" w:ascii="宋体" w:hAnsi="宋体" w:cs="宋体"/>
                <w:sz w:val="20"/>
                <w:lang w:val="en-US" w:eastAsia="zh-CN"/>
              </w:rPr>
              <w:t>询比</w:t>
            </w:r>
          </w:p>
        </w:tc>
      </w:tr>
      <w:tr w14:paraId="779F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pct"/>
            <w:vAlign w:val="center"/>
          </w:tcPr>
          <w:p w14:paraId="6C4AB5D2">
            <w:pPr>
              <w:jc w:val="center"/>
              <w:rPr>
                <w:rFonts w:hint="default"/>
                <w:sz w:val="20"/>
                <w:lang w:val="en-US" w:eastAsia="zh-CN"/>
              </w:rPr>
            </w:pPr>
            <w:r>
              <w:rPr>
                <w:rFonts w:hint="eastAsia"/>
                <w:sz w:val="20"/>
                <w:lang w:val="en-US" w:eastAsia="zh-CN"/>
              </w:rPr>
              <w:t>招标人</w:t>
            </w:r>
          </w:p>
        </w:tc>
        <w:tc>
          <w:tcPr>
            <w:tcW w:w="3922" w:type="pct"/>
            <w:vAlign w:val="center"/>
          </w:tcPr>
          <w:p w14:paraId="62623593">
            <w:pPr>
              <w:spacing w:line="440" w:lineRule="exact"/>
              <w:jc w:val="center"/>
              <w:rPr>
                <w:rFonts w:hint="eastAsia" w:ascii="宋体" w:hAnsi="宋体" w:cs="宋体"/>
                <w:sz w:val="20"/>
                <w:lang w:val="en-US" w:eastAsia="zh-CN"/>
              </w:rPr>
            </w:pPr>
            <w:r>
              <w:rPr>
                <w:rFonts w:hint="eastAsia" w:ascii="宋体" w:hAnsi="宋体" w:eastAsia="宋体" w:cs="宋体"/>
                <w:sz w:val="20"/>
                <w:lang w:val="en-US" w:eastAsia="zh-CN"/>
              </w:rPr>
              <w:t>毕</w:t>
            </w:r>
            <w:r>
              <w:rPr>
                <w:rFonts w:hint="default" w:ascii="宋体" w:hAnsi="宋体" w:eastAsia="宋体" w:cs="宋体"/>
                <w:sz w:val="20"/>
                <w:lang w:val="en-US" w:eastAsia="zh-CN"/>
              </w:rPr>
              <w:t>节市生态环境局赫章分局</w:t>
            </w:r>
          </w:p>
        </w:tc>
      </w:tr>
      <w:tr w14:paraId="3F47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pct"/>
            <w:vAlign w:val="center"/>
          </w:tcPr>
          <w:p w14:paraId="2814B7D8">
            <w:pPr>
              <w:jc w:val="center"/>
              <w:rPr>
                <w:rFonts w:hint="default" w:eastAsia="宋体"/>
                <w:sz w:val="20"/>
                <w:lang w:val="en-US" w:eastAsia="zh-CN"/>
              </w:rPr>
            </w:pPr>
            <w:r>
              <w:rPr>
                <w:rFonts w:hint="eastAsia"/>
                <w:sz w:val="20"/>
                <w:lang w:val="en-US" w:eastAsia="zh-CN"/>
              </w:rPr>
              <w:t>代建人</w:t>
            </w:r>
          </w:p>
        </w:tc>
        <w:tc>
          <w:tcPr>
            <w:tcW w:w="3922" w:type="pct"/>
            <w:vAlign w:val="center"/>
          </w:tcPr>
          <w:p w14:paraId="309E3E06">
            <w:pPr>
              <w:spacing w:line="440" w:lineRule="exact"/>
              <w:jc w:val="center"/>
              <w:rPr>
                <w:rFonts w:hint="default" w:ascii="宋体" w:hAnsi="宋体" w:cs="宋体"/>
                <w:sz w:val="20"/>
                <w:lang w:val="en-US" w:eastAsia="zh-CN"/>
              </w:rPr>
            </w:pPr>
            <w:r>
              <w:rPr>
                <w:rFonts w:hint="eastAsia" w:ascii="宋体" w:hAnsi="宋体" w:cs="宋体"/>
                <w:sz w:val="20"/>
                <w:lang w:val="en-US" w:eastAsia="zh-CN"/>
              </w:rPr>
              <w:t>毕节博智工程建设管理咨询有限公司</w:t>
            </w:r>
          </w:p>
        </w:tc>
      </w:tr>
      <w:tr w14:paraId="62FA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77" w:type="pct"/>
            <w:vAlign w:val="center"/>
          </w:tcPr>
          <w:p w14:paraId="6CAFC401">
            <w:pPr>
              <w:jc w:val="center"/>
              <w:rPr>
                <w:sz w:val="20"/>
              </w:rPr>
            </w:pPr>
            <w:r>
              <w:rPr>
                <w:rFonts w:hint="eastAsia"/>
                <w:sz w:val="20"/>
              </w:rPr>
              <w:t>评审时间</w:t>
            </w:r>
          </w:p>
        </w:tc>
        <w:tc>
          <w:tcPr>
            <w:tcW w:w="3922" w:type="pct"/>
            <w:vAlign w:val="center"/>
          </w:tcPr>
          <w:p w14:paraId="56AE86F4">
            <w:pPr>
              <w:spacing w:line="440" w:lineRule="exact"/>
              <w:jc w:val="center"/>
              <w:rPr>
                <w:rFonts w:hint="eastAsia" w:ascii="宋体" w:hAnsi="宋体" w:cs="宋体"/>
                <w:sz w:val="20"/>
                <w:lang w:val="en-US" w:eastAsia="zh-CN"/>
              </w:rPr>
            </w:pPr>
            <w:r>
              <w:rPr>
                <w:rFonts w:hint="eastAsia" w:ascii="宋体" w:hAnsi="宋体" w:cs="宋体"/>
                <w:sz w:val="20"/>
                <w:lang w:val="en-US" w:eastAsia="zh-CN"/>
              </w:rPr>
              <w:t>2025年11月19日15时00分</w:t>
            </w:r>
          </w:p>
        </w:tc>
      </w:tr>
      <w:tr w14:paraId="1CF8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7" w:type="pct"/>
            <w:vAlign w:val="center"/>
          </w:tcPr>
          <w:p w14:paraId="4C55605A">
            <w:pPr>
              <w:jc w:val="center"/>
              <w:rPr>
                <w:bCs/>
                <w:sz w:val="20"/>
              </w:rPr>
            </w:pPr>
            <w:r>
              <w:rPr>
                <w:rFonts w:hint="eastAsia"/>
                <w:sz w:val="20"/>
              </w:rPr>
              <w:t>评审地点</w:t>
            </w:r>
          </w:p>
        </w:tc>
        <w:tc>
          <w:tcPr>
            <w:tcW w:w="3922" w:type="pct"/>
            <w:vAlign w:val="center"/>
          </w:tcPr>
          <w:p w14:paraId="5CA591D2">
            <w:pPr>
              <w:spacing w:line="440" w:lineRule="exact"/>
              <w:jc w:val="center"/>
              <w:rPr>
                <w:rFonts w:hint="eastAsia" w:ascii="宋体" w:hAnsi="宋体" w:cs="宋体"/>
                <w:sz w:val="20"/>
                <w:lang w:val="en-US" w:eastAsia="zh-CN"/>
              </w:rPr>
            </w:pPr>
            <w:r>
              <w:rPr>
                <w:rFonts w:hint="eastAsia" w:ascii="宋体" w:hAnsi="宋体" w:cs="宋体"/>
                <w:sz w:val="20"/>
                <w:lang w:val="en-US" w:eastAsia="zh-CN"/>
              </w:rPr>
              <w:t>贵州省毕节市七星关区联通大道交通大楼五楼会议室</w:t>
            </w:r>
          </w:p>
        </w:tc>
      </w:tr>
      <w:tr w14:paraId="71AA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77" w:type="pct"/>
            <w:vAlign w:val="center"/>
          </w:tcPr>
          <w:p w14:paraId="42478783">
            <w:pPr>
              <w:spacing w:line="440" w:lineRule="exact"/>
              <w:jc w:val="center"/>
              <w:rPr>
                <w:rFonts w:hint="eastAsia" w:ascii="宋体" w:hAnsi="宋体" w:cs="宋体"/>
                <w:sz w:val="20"/>
                <w:lang w:val="en-US" w:eastAsia="zh-CN"/>
              </w:rPr>
            </w:pPr>
            <w:r>
              <w:rPr>
                <w:rFonts w:hint="eastAsia" w:ascii="宋体" w:hAnsi="宋体" w:cs="宋体"/>
                <w:sz w:val="20"/>
                <w:lang w:val="en-US" w:eastAsia="zh-CN"/>
              </w:rPr>
              <w:t>第一成交候选人</w:t>
            </w:r>
          </w:p>
        </w:tc>
        <w:tc>
          <w:tcPr>
            <w:tcW w:w="3922" w:type="pct"/>
            <w:vAlign w:val="center"/>
          </w:tcPr>
          <w:p w14:paraId="201B5601">
            <w:pPr>
              <w:spacing w:line="440" w:lineRule="exact"/>
              <w:jc w:val="center"/>
              <w:rPr>
                <w:rFonts w:hint="eastAsia" w:ascii="宋体" w:hAnsi="宋体" w:cs="宋体"/>
                <w:sz w:val="20"/>
                <w:highlight w:val="yellow"/>
                <w:lang w:val="en-US" w:eastAsia="zh-CN"/>
              </w:rPr>
            </w:pPr>
            <w:r>
              <w:rPr>
                <w:rFonts w:hint="eastAsia" w:ascii="宋体" w:hAnsi="宋体" w:cs="宋体"/>
                <w:sz w:val="20"/>
                <w:highlight w:val="none"/>
                <w:lang w:val="en-US" w:eastAsia="zh-CN"/>
              </w:rPr>
              <w:t>贵州远盛企业管理有限公司</w:t>
            </w:r>
          </w:p>
        </w:tc>
      </w:tr>
      <w:tr w14:paraId="2E20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682E93D9">
            <w:pPr>
              <w:jc w:val="center"/>
              <w:rPr>
                <w:bCs/>
                <w:sz w:val="20"/>
              </w:rPr>
            </w:pPr>
            <w:r>
              <w:rPr>
                <w:rFonts w:hint="eastAsia"/>
                <w:bCs/>
                <w:sz w:val="20"/>
              </w:rPr>
              <w:t>报价</w:t>
            </w:r>
            <w:r>
              <w:rPr>
                <w:rFonts w:hint="eastAsia"/>
                <w:sz w:val="20"/>
              </w:rPr>
              <w:t>（下浮率）</w:t>
            </w:r>
          </w:p>
        </w:tc>
        <w:tc>
          <w:tcPr>
            <w:tcW w:w="3922" w:type="pct"/>
            <w:vAlign w:val="center"/>
          </w:tcPr>
          <w:p w14:paraId="622F61E4">
            <w:pPr>
              <w:spacing w:line="440" w:lineRule="exact"/>
              <w:jc w:val="left"/>
              <w:rPr>
                <w:rFonts w:hint="eastAsia" w:ascii="宋体" w:hAnsi="宋体" w:cs="宋体"/>
                <w:sz w:val="20"/>
                <w:highlight w:val="yellow"/>
                <w:lang w:val="en-US" w:eastAsia="zh-CN"/>
              </w:rPr>
            </w:pPr>
            <w:r>
              <w:rPr>
                <w:rFonts w:hint="default" w:ascii="宋体" w:hAnsi="宋体" w:cs="宋体"/>
                <w:sz w:val="20"/>
                <w:highlight w:val="none"/>
                <w:lang w:val="en-US" w:eastAsia="zh-CN"/>
              </w:rPr>
              <w:t>工程施工按《贵州省物价局贵州省住房和城乡建设厅关于降低部分建设项目收费标准规范收费行为等有关问题的通知》(黔价房〔2011〕69 号)收费标准下浮35%，</w:t>
            </w:r>
            <w:r>
              <w:rPr>
                <w:rFonts w:hint="default" w:ascii="宋体" w:hAnsi="宋体" w:cs="宋体"/>
                <w:sz w:val="20"/>
                <w:highlight w:val="none"/>
                <w:lang w:val="en-US" w:eastAsia="zh-CN"/>
              </w:rPr>
              <w:t>与工程建设有关服务为每项3000元</w:t>
            </w:r>
            <w:r>
              <w:rPr>
                <w:rFonts w:hint="default" w:ascii="宋体" w:hAnsi="宋体" w:cs="宋体"/>
                <w:sz w:val="20"/>
                <w:highlight w:val="none"/>
                <w:lang w:val="en-US" w:eastAsia="zh-CN"/>
              </w:rPr>
              <w:t>。</w:t>
            </w:r>
          </w:p>
        </w:tc>
      </w:tr>
      <w:tr w14:paraId="445D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008CB0C9">
            <w:pPr>
              <w:jc w:val="center"/>
              <w:rPr>
                <w:rFonts w:hint="default" w:eastAsia="宋体"/>
                <w:bCs/>
                <w:sz w:val="20"/>
                <w:lang w:val="en-US" w:eastAsia="zh-CN"/>
              </w:rPr>
            </w:pPr>
            <w:r>
              <w:rPr>
                <w:rFonts w:hint="eastAsia"/>
                <w:bCs/>
                <w:sz w:val="20"/>
                <w:lang w:val="en-US" w:eastAsia="zh-CN"/>
              </w:rPr>
              <w:t>综合得分</w:t>
            </w:r>
          </w:p>
        </w:tc>
        <w:tc>
          <w:tcPr>
            <w:tcW w:w="3922" w:type="pct"/>
            <w:vAlign w:val="center"/>
          </w:tcPr>
          <w:p w14:paraId="77C6570A">
            <w:pPr>
              <w:spacing w:line="440" w:lineRule="exact"/>
              <w:jc w:val="center"/>
              <w:rPr>
                <w:rFonts w:hint="default" w:ascii="宋体" w:hAnsi="宋体" w:cs="宋体"/>
                <w:sz w:val="20"/>
                <w:highlight w:val="yellow"/>
                <w:lang w:val="en-US" w:eastAsia="zh-CN"/>
              </w:rPr>
            </w:pPr>
            <w:r>
              <w:rPr>
                <w:rFonts w:hint="eastAsia" w:ascii="宋体" w:hAnsi="宋体" w:cs="宋体"/>
                <w:sz w:val="20"/>
                <w:highlight w:val="none"/>
                <w:lang w:val="en-US" w:eastAsia="zh-CN"/>
              </w:rPr>
              <w:t>85.33</w:t>
            </w:r>
          </w:p>
        </w:tc>
      </w:tr>
      <w:tr w14:paraId="56D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1192A962">
            <w:pPr>
              <w:spacing w:line="440" w:lineRule="exact"/>
              <w:jc w:val="center"/>
              <w:rPr>
                <w:rFonts w:hint="eastAsia" w:ascii="宋体" w:hAnsi="宋体" w:cs="宋体"/>
                <w:sz w:val="20"/>
                <w:lang w:val="en-US" w:eastAsia="zh-CN"/>
              </w:rPr>
            </w:pPr>
            <w:r>
              <w:rPr>
                <w:rFonts w:hint="eastAsia" w:ascii="宋体" w:hAnsi="宋体" w:cs="宋体"/>
                <w:sz w:val="20"/>
                <w:lang w:val="en-US" w:eastAsia="zh-CN"/>
              </w:rPr>
              <w:t>第二成交候选人</w:t>
            </w:r>
          </w:p>
        </w:tc>
        <w:tc>
          <w:tcPr>
            <w:tcW w:w="3922" w:type="pct"/>
            <w:vAlign w:val="center"/>
          </w:tcPr>
          <w:p w14:paraId="4DFBA2E4">
            <w:pPr>
              <w:spacing w:line="440" w:lineRule="exact"/>
              <w:jc w:val="center"/>
              <w:rPr>
                <w:rFonts w:hint="eastAsia" w:ascii="宋体" w:hAnsi="宋体" w:cs="宋体"/>
                <w:sz w:val="20"/>
                <w:highlight w:val="yellow"/>
                <w:lang w:val="en-US" w:eastAsia="zh-CN"/>
              </w:rPr>
            </w:pPr>
            <w:r>
              <w:rPr>
                <w:rFonts w:hint="eastAsia" w:ascii="宋体" w:hAnsi="宋体" w:cs="宋体"/>
                <w:sz w:val="20"/>
                <w:highlight w:val="none"/>
                <w:lang w:val="en-US" w:eastAsia="zh-CN"/>
              </w:rPr>
              <w:t>贵州信源工程管理服务有限公司</w:t>
            </w:r>
          </w:p>
        </w:tc>
      </w:tr>
      <w:tr w14:paraId="0BD9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02EB9C78">
            <w:pPr>
              <w:jc w:val="center"/>
              <w:rPr>
                <w:bCs/>
                <w:sz w:val="20"/>
              </w:rPr>
            </w:pPr>
            <w:r>
              <w:rPr>
                <w:rFonts w:hint="eastAsia"/>
                <w:bCs/>
                <w:sz w:val="20"/>
              </w:rPr>
              <w:t>报价</w:t>
            </w:r>
            <w:r>
              <w:rPr>
                <w:rFonts w:hint="eastAsia"/>
                <w:sz w:val="20"/>
              </w:rPr>
              <w:t>（下浮率）</w:t>
            </w:r>
          </w:p>
        </w:tc>
        <w:tc>
          <w:tcPr>
            <w:tcW w:w="3922" w:type="pct"/>
            <w:vAlign w:val="center"/>
          </w:tcPr>
          <w:p w14:paraId="2D02ACD8">
            <w:pPr>
              <w:spacing w:line="440" w:lineRule="exact"/>
              <w:jc w:val="left"/>
              <w:rPr>
                <w:rFonts w:hint="eastAsia" w:ascii="宋体" w:hAnsi="宋体" w:cs="宋体"/>
                <w:sz w:val="20"/>
                <w:highlight w:val="yellow"/>
                <w:lang w:val="en-US" w:eastAsia="zh-CN"/>
              </w:rPr>
            </w:pPr>
            <w:r>
              <w:rPr>
                <w:rFonts w:hint="default" w:ascii="宋体" w:hAnsi="宋体" w:cs="宋体"/>
                <w:sz w:val="20"/>
                <w:highlight w:val="none"/>
                <w:lang w:val="en-US" w:eastAsia="zh-CN"/>
              </w:rPr>
              <w:t>工程施工按《贵州省物价局贵州省住房和城乡建设厅关于降低部分建设项目收费标准规范收费行为等有关问题的通知》(黔价房〔2011〕69 号)收费标准下浮3</w:t>
            </w:r>
            <w:r>
              <w:rPr>
                <w:rFonts w:hint="eastAsia" w:ascii="宋体" w:hAnsi="宋体" w:cs="宋体"/>
                <w:sz w:val="20"/>
                <w:highlight w:val="none"/>
                <w:lang w:val="en-US" w:eastAsia="zh-CN"/>
              </w:rPr>
              <w:t>0</w:t>
            </w:r>
            <w:r>
              <w:rPr>
                <w:rFonts w:hint="default" w:ascii="宋体" w:hAnsi="宋体" w:cs="宋体"/>
                <w:sz w:val="20"/>
                <w:highlight w:val="none"/>
                <w:lang w:val="en-US" w:eastAsia="zh-CN"/>
              </w:rPr>
              <w:t>%，</w:t>
            </w:r>
            <w:r>
              <w:rPr>
                <w:rFonts w:hint="default" w:ascii="宋体" w:hAnsi="宋体" w:cs="宋体"/>
                <w:sz w:val="20"/>
                <w:highlight w:val="none"/>
                <w:lang w:val="en-US" w:eastAsia="zh-CN"/>
              </w:rPr>
              <w:t>与工程建设有关服务为每项3</w:t>
            </w:r>
            <w:r>
              <w:rPr>
                <w:rFonts w:hint="eastAsia" w:ascii="宋体" w:hAnsi="宋体" w:cs="宋体"/>
                <w:sz w:val="20"/>
                <w:highlight w:val="none"/>
                <w:lang w:val="en-US" w:eastAsia="zh-CN"/>
              </w:rPr>
              <w:t>500</w:t>
            </w:r>
            <w:r>
              <w:rPr>
                <w:rFonts w:hint="default" w:ascii="宋体" w:hAnsi="宋体" w:cs="宋体"/>
                <w:sz w:val="20"/>
                <w:highlight w:val="none"/>
                <w:lang w:val="en-US" w:eastAsia="zh-CN"/>
              </w:rPr>
              <w:t>元</w:t>
            </w:r>
            <w:r>
              <w:rPr>
                <w:rFonts w:hint="eastAsia" w:ascii="宋体" w:hAnsi="宋体" w:cs="宋体"/>
                <w:sz w:val="20"/>
                <w:highlight w:val="none"/>
                <w:lang w:val="en-US" w:eastAsia="zh-CN"/>
              </w:rPr>
              <w:t>。</w:t>
            </w:r>
          </w:p>
        </w:tc>
      </w:tr>
      <w:tr w14:paraId="59A5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041B39B5">
            <w:pPr>
              <w:jc w:val="center"/>
              <w:rPr>
                <w:rFonts w:hint="default" w:eastAsia="宋体"/>
                <w:bCs/>
                <w:sz w:val="20"/>
                <w:lang w:val="en-US" w:eastAsia="zh-CN"/>
              </w:rPr>
            </w:pPr>
            <w:r>
              <w:rPr>
                <w:rFonts w:hint="eastAsia"/>
                <w:bCs/>
                <w:sz w:val="20"/>
                <w:lang w:val="en-US" w:eastAsia="zh-CN"/>
              </w:rPr>
              <w:t>综合得分</w:t>
            </w:r>
          </w:p>
        </w:tc>
        <w:tc>
          <w:tcPr>
            <w:tcW w:w="3922" w:type="pct"/>
            <w:vAlign w:val="center"/>
          </w:tcPr>
          <w:p w14:paraId="09D098F7">
            <w:pPr>
              <w:spacing w:line="440" w:lineRule="exact"/>
              <w:jc w:val="center"/>
              <w:rPr>
                <w:rFonts w:hint="default"/>
                <w:highlight w:val="yellow"/>
                <w:lang w:val="en-US" w:eastAsia="zh-CN"/>
              </w:rPr>
            </w:pPr>
            <w:r>
              <w:rPr>
                <w:rFonts w:hint="eastAsia"/>
                <w:highlight w:val="none"/>
                <w:lang w:val="en-US" w:eastAsia="zh-CN"/>
              </w:rPr>
              <w:t>81.26</w:t>
            </w:r>
          </w:p>
        </w:tc>
      </w:tr>
      <w:tr w14:paraId="4A5A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1DAAE8D5">
            <w:pPr>
              <w:spacing w:line="440" w:lineRule="exact"/>
              <w:jc w:val="center"/>
              <w:rPr>
                <w:rFonts w:hint="eastAsia" w:ascii="宋体" w:hAnsi="宋体" w:cs="宋体"/>
                <w:sz w:val="20"/>
                <w:lang w:val="en-US" w:eastAsia="zh-CN"/>
              </w:rPr>
            </w:pPr>
            <w:r>
              <w:rPr>
                <w:rFonts w:hint="eastAsia" w:ascii="宋体" w:hAnsi="宋体" w:cs="宋体"/>
                <w:sz w:val="20"/>
                <w:lang w:val="en-US" w:eastAsia="zh-CN"/>
              </w:rPr>
              <w:t>第三成交候选人</w:t>
            </w:r>
          </w:p>
        </w:tc>
        <w:tc>
          <w:tcPr>
            <w:tcW w:w="3922" w:type="pct"/>
            <w:vAlign w:val="center"/>
          </w:tcPr>
          <w:p w14:paraId="1F32C9FC">
            <w:pPr>
              <w:spacing w:line="440" w:lineRule="exact"/>
              <w:jc w:val="center"/>
              <w:rPr>
                <w:rFonts w:hint="eastAsia" w:ascii="宋体" w:hAnsi="宋体" w:cs="宋体"/>
                <w:sz w:val="20"/>
                <w:highlight w:val="yellow"/>
                <w:lang w:val="en-US" w:eastAsia="zh-CN"/>
              </w:rPr>
            </w:pPr>
            <w:r>
              <w:rPr>
                <w:rFonts w:hint="eastAsia" w:ascii="宋体" w:hAnsi="宋体" w:eastAsia="宋体" w:cs="宋体"/>
                <w:sz w:val="20"/>
                <w:highlight w:val="none"/>
                <w:lang w:val="en-US" w:eastAsia="zh-CN"/>
              </w:rPr>
              <w:t>贵州精恒星工程项目管理咨询有限公司</w:t>
            </w:r>
          </w:p>
        </w:tc>
      </w:tr>
      <w:tr w14:paraId="3370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4C89AECE">
            <w:pPr>
              <w:jc w:val="center"/>
              <w:rPr>
                <w:bCs/>
                <w:sz w:val="20"/>
              </w:rPr>
            </w:pPr>
            <w:r>
              <w:rPr>
                <w:rFonts w:hint="eastAsia"/>
                <w:bCs/>
                <w:sz w:val="20"/>
              </w:rPr>
              <w:t>报价</w:t>
            </w:r>
            <w:r>
              <w:rPr>
                <w:rFonts w:hint="eastAsia"/>
                <w:sz w:val="20"/>
              </w:rPr>
              <w:t>（下浮率）</w:t>
            </w:r>
          </w:p>
        </w:tc>
        <w:tc>
          <w:tcPr>
            <w:tcW w:w="3922" w:type="pct"/>
            <w:vAlign w:val="center"/>
          </w:tcPr>
          <w:p w14:paraId="5777FBAB">
            <w:pPr>
              <w:spacing w:line="440" w:lineRule="exact"/>
              <w:jc w:val="left"/>
              <w:rPr>
                <w:rFonts w:hint="eastAsia" w:ascii="宋体" w:hAnsi="宋体" w:cs="宋体"/>
                <w:sz w:val="20"/>
                <w:highlight w:val="yellow"/>
                <w:lang w:val="en-US" w:eastAsia="zh-CN"/>
              </w:rPr>
            </w:pPr>
            <w:r>
              <w:rPr>
                <w:rFonts w:hint="default" w:ascii="宋体" w:hAnsi="宋体" w:cs="宋体"/>
                <w:sz w:val="20"/>
                <w:highlight w:val="none"/>
                <w:lang w:val="en-US" w:eastAsia="zh-CN"/>
              </w:rPr>
              <w:t>工程施工按《贵州省物价局贵州省住房和城乡建设厅关于降低部分建设项目收费标准规范收费行为等有关问题的通知》(黔价房〔2011〕69 号)收费标准下浮3</w:t>
            </w:r>
            <w:r>
              <w:rPr>
                <w:rFonts w:hint="eastAsia" w:ascii="宋体" w:hAnsi="宋体" w:cs="宋体"/>
                <w:sz w:val="20"/>
                <w:highlight w:val="none"/>
                <w:lang w:val="en-US" w:eastAsia="zh-CN"/>
              </w:rPr>
              <w:t>3</w:t>
            </w:r>
            <w:r>
              <w:rPr>
                <w:rFonts w:hint="default" w:ascii="宋体" w:hAnsi="宋体" w:cs="宋体"/>
                <w:sz w:val="20"/>
                <w:highlight w:val="none"/>
                <w:lang w:val="en-US" w:eastAsia="zh-CN"/>
              </w:rPr>
              <w:t>%，</w:t>
            </w:r>
            <w:r>
              <w:rPr>
                <w:rFonts w:hint="default" w:ascii="宋体" w:hAnsi="宋体" w:cs="宋体"/>
                <w:sz w:val="20"/>
                <w:highlight w:val="none"/>
                <w:lang w:val="en-US" w:eastAsia="zh-CN"/>
              </w:rPr>
              <w:t>与工程建设有关服务为每项</w:t>
            </w:r>
            <w:r>
              <w:rPr>
                <w:rFonts w:hint="eastAsia" w:ascii="宋体" w:hAnsi="宋体" w:cs="宋体"/>
                <w:sz w:val="20"/>
                <w:highlight w:val="none"/>
                <w:lang w:val="en-US" w:eastAsia="zh-CN"/>
              </w:rPr>
              <w:t>3200</w:t>
            </w:r>
            <w:r>
              <w:rPr>
                <w:rFonts w:hint="default" w:ascii="宋体" w:hAnsi="宋体" w:cs="宋体"/>
                <w:sz w:val="20"/>
                <w:highlight w:val="none"/>
                <w:lang w:val="en-US" w:eastAsia="zh-CN"/>
              </w:rPr>
              <w:t>元。</w:t>
            </w:r>
          </w:p>
        </w:tc>
      </w:tr>
      <w:tr w14:paraId="1515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7" w:type="pct"/>
            <w:vAlign w:val="center"/>
          </w:tcPr>
          <w:p w14:paraId="4B54D007">
            <w:pPr>
              <w:jc w:val="center"/>
              <w:rPr>
                <w:rFonts w:hint="eastAsia"/>
                <w:bCs/>
                <w:sz w:val="20"/>
              </w:rPr>
            </w:pPr>
            <w:r>
              <w:rPr>
                <w:rFonts w:hint="eastAsia"/>
                <w:bCs/>
                <w:sz w:val="20"/>
                <w:lang w:val="en-US" w:eastAsia="zh-CN"/>
              </w:rPr>
              <w:t>综合得分</w:t>
            </w:r>
          </w:p>
        </w:tc>
        <w:tc>
          <w:tcPr>
            <w:tcW w:w="3922" w:type="pct"/>
            <w:vAlign w:val="center"/>
          </w:tcPr>
          <w:p w14:paraId="35D45914">
            <w:pPr>
              <w:spacing w:line="440" w:lineRule="exact"/>
              <w:jc w:val="center"/>
              <w:rPr>
                <w:rFonts w:hint="default" w:ascii="宋体" w:hAnsi="宋体" w:cs="宋体"/>
                <w:sz w:val="20"/>
                <w:highlight w:val="yellow"/>
                <w:lang w:val="en-US" w:eastAsia="zh-CN"/>
              </w:rPr>
            </w:pPr>
            <w:r>
              <w:rPr>
                <w:rFonts w:hint="eastAsia" w:ascii="宋体" w:hAnsi="宋体" w:cs="宋体"/>
                <w:sz w:val="20"/>
                <w:highlight w:val="none"/>
                <w:lang w:val="en-US" w:eastAsia="zh-CN"/>
              </w:rPr>
              <w:t>61.54</w:t>
            </w:r>
          </w:p>
        </w:tc>
      </w:tr>
      <w:tr w14:paraId="7D7D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77" w:type="pct"/>
            <w:vAlign w:val="center"/>
          </w:tcPr>
          <w:p w14:paraId="2805D7C3">
            <w:pPr>
              <w:jc w:val="center"/>
              <w:rPr>
                <w:bCs/>
                <w:sz w:val="20"/>
              </w:rPr>
            </w:pPr>
            <w:r>
              <w:rPr>
                <w:rFonts w:hint="eastAsia"/>
                <w:bCs/>
                <w:sz w:val="20"/>
              </w:rPr>
              <w:t>公示期</w:t>
            </w:r>
          </w:p>
        </w:tc>
        <w:tc>
          <w:tcPr>
            <w:tcW w:w="3922" w:type="pct"/>
            <w:vAlign w:val="center"/>
          </w:tcPr>
          <w:p w14:paraId="3C4CDAC1">
            <w:pPr>
              <w:jc w:val="center"/>
              <w:rPr>
                <w:rFonts w:hint="default" w:ascii="宋体" w:hAnsi="宋体" w:cs="宋体"/>
                <w:sz w:val="20"/>
                <w:highlight w:val="yellow"/>
                <w:lang w:val="en-US"/>
              </w:rPr>
            </w:pPr>
            <w:r>
              <w:rPr>
                <w:rFonts w:hint="eastAsia" w:ascii="宋体" w:hAnsi="宋体" w:cs="宋体"/>
                <w:sz w:val="20"/>
                <w:highlight w:val="none"/>
              </w:rPr>
              <w:t>202</w:t>
            </w:r>
            <w:r>
              <w:rPr>
                <w:rFonts w:hint="eastAsia" w:ascii="宋体" w:hAnsi="宋体" w:cs="宋体"/>
                <w:sz w:val="20"/>
                <w:highlight w:val="none"/>
                <w:lang w:val="en-US" w:eastAsia="zh-CN"/>
              </w:rPr>
              <w:t>5</w:t>
            </w:r>
            <w:r>
              <w:rPr>
                <w:rFonts w:hint="eastAsia" w:ascii="宋体" w:hAnsi="宋体" w:cs="宋体"/>
                <w:sz w:val="20"/>
                <w:highlight w:val="none"/>
              </w:rPr>
              <w:t>年</w:t>
            </w:r>
            <w:r>
              <w:rPr>
                <w:rFonts w:hint="eastAsia" w:ascii="宋体" w:hAnsi="宋体" w:cs="宋体"/>
                <w:sz w:val="20"/>
                <w:highlight w:val="none"/>
                <w:lang w:val="en-US" w:eastAsia="zh-CN"/>
              </w:rPr>
              <w:t>11月21日至</w:t>
            </w:r>
            <w:r>
              <w:rPr>
                <w:rFonts w:hint="eastAsia" w:ascii="宋体" w:hAnsi="宋体" w:cs="宋体"/>
                <w:sz w:val="20"/>
                <w:highlight w:val="none"/>
              </w:rPr>
              <w:t>202</w:t>
            </w:r>
            <w:r>
              <w:rPr>
                <w:rFonts w:hint="eastAsia" w:ascii="宋体" w:hAnsi="宋体" w:cs="宋体"/>
                <w:sz w:val="20"/>
                <w:highlight w:val="none"/>
                <w:lang w:val="en-US" w:eastAsia="zh-CN"/>
              </w:rPr>
              <w:t>5</w:t>
            </w:r>
            <w:r>
              <w:rPr>
                <w:rFonts w:hint="eastAsia" w:ascii="宋体" w:hAnsi="宋体" w:cs="宋体"/>
                <w:sz w:val="20"/>
                <w:highlight w:val="none"/>
              </w:rPr>
              <w:t>年</w:t>
            </w:r>
            <w:r>
              <w:rPr>
                <w:rFonts w:hint="eastAsia" w:ascii="宋体" w:hAnsi="宋体" w:cs="宋体"/>
                <w:sz w:val="20"/>
                <w:highlight w:val="none"/>
                <w:lang w:val="en-US" w:eastAsia="zh-CN"/>
              </w:rPr>
              <w:t>11月21日</w:t>
            </w:r>
            <w:bookmarkStart w:id="0" w:name="_GoBack"/>
            <w:bookmarkEnd w:id="0"/>
          </w:p>
        </w:tc>
      </w:tr>
      <w:tr w14:paraId="5C1D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9" w:hRule="atLeast"/>
        </w:trPr>
        <w:tc>
          <w:tcPr>
            <w:tcW w:w="1077" w:type="pct"/>
            <w:vAlign w:val="center"/>
          </w:tcPr>
          <w:p w14:paraId="450C8B3B">
            <w:pPr>
              <w:jc w:val="center"/>
              <w:rPr>
                <w:bCs/>
                <w:sz w:val="20"/>
              </w:rPr>
            </w:pPr>
            <w:r>
              <w:rPr>
                <w:bCs/>
                <w:sz w:val="20"/>
              </w:rPr>
              <w:t>公示说明</w:t>
            </w:r>
          </w:p>
        </w:tc>
        <w:tc>
          <w:tcPr>
            <w:tcW w:w="3922" w:type="pct"/>
            <w:vAlign w:val="center"/>
          </w:tcPr>
          <w:p w14:paraId="1B51574A">
            <w:pPr>
              <w:rPr>
                <w:rFonts w:hint="eastAsia" w:ascii="宋体" w:hAnsi="宋体" w:eastAsia="宋体" w:cs="宋体"/>
                <w:sz w:val="20"/>
                <w:highlight w:val="none"/>
                <w:lang w:eastAsia="zh-CN"/>
              </w:rPr>
            </w:pPr>
            <w:r>
              <w:rPr>
                <w:rFonts w:hint="eastAsia" w:ascii="宋体" w:hAnsi="宋体" w:cs="宋体"/>
                <w:sz w:val="20"/>
                <w:highlight w:val="none"/>
              </w:rPr>
              <w:t>根据《工程建设项目招标投标活动投诉处理办法》（七部委局11号令），投标人和其他利害关系人认为本工程招标投标活动不符合法律、法规和规章的，有权依法向有关行政监督部门投诉。</w:t>
            </w:r>
          </w:p>
          <w:p w14:paraId="1DF30EE4">
            <w:pPr>
              <w:rPr>
                <w:rFonts w:hint="eastAsia" w:ascii="宋体" w:hAnsi="宋体" w:eastAsia="宋体" w:cs="宋体"/>
                <w:sz w:val="20"/>
                <w:highlight w:val="none"/>
                <w:lang w:eastAsia="zh-CN"/>
              </w:rPr>
            </w:pPr>
            <w:r>
              <w:rPr>
                <w:rFonts w:hint="eastAsia" w:ascii="宋体" w:hAnsi="宋体" w:cs="宋体"/>
                <w:sz w:val="20"/>
                <w:highlight w:val="none"/>
              </w:rPr>
              <w:t>投诉人投诉时，应当提交投诉书。投诉书应当包括以下内容：</w:t>
            </w:r>
          </w:p>
          <w:p w14:paraId="147820EE">
            <w:pPr>
              <w:rPr>
                <w:rFonts w:hint="eastAsia" w:ascii="宋体" w:hAnsi="宋体" w:eastAsia="宋体" w:cs="宋体"/>
                <w:sz w:val="20"/>
                <w:highlight w:val="none"/>
                <w:lang w:eastAsia="zh-CN"/>
              </w:rPr>
            </w:pPr>
            <w:r>
              <w:rPr>
                <w:rFonts w:hint="eastAsia" w:ascii="宋体" w:hAnsi="宋体" w:cs="宋体"/>
                <w:sz w:val="20"/>
                <w:highlight w:val="none"/>
              </w:rPr>
              <w:t>（1）投诉人的名称、地址及有效联系方式；</w:t>
            </w:r>
          </w:p>
          <w:p w14:paraId="030E6ECB">
            <w:pPr>
              <w:rPr>
                <w:rFonts w:hint="eastAsia" w:ascii="宋体" w:hAnsi="宋体" w:eastAsia="宋体" w:cs="宋体"/>
                <w:sz w:val="20"/>
                <w:highlight w:val="none"/>
                <w:lang w:eastAsia="zh-CN"/>
              </w:rPr>
            </w:pPr>
            <w:r>
              <w:rPr>
                <w:rFonts w:hint="eastAsia" w:ascii="宋体" w:hAnsi="宋体" w:cs="宋体"/>
                <w:sz w:val="20"/>
                <w:highlight w:val="none"/>
              </w:rPr>
              <w:t>（2）被投诉人的名称、地址及有效联系方式；</w:t>
            </w:r>
          </w:p>
          <w:p w14:paraId="0C353EC4">
            <w:pPr>
              <w:rPr>
                <w:rFonts w:hint="eastAsia" w:ascii="宋体" w:hAnsi="宋体" w:eastAsia="宋体" w:cs="宋体"/>
                <w:sz w:val="20"/>
                <w:highlight w:val="none"/>
                <w:lang w:eastAsia="zh-CN"/>
              </w:rPr>
            </w:pPr>
            <w:r>
              <w:rPr>
                <w:rFonts w:hint="eastAsia" w:ascii="宋体" w:hAnsi="宋体" w:cs="宋体"/>
                <w:sz w:val="20"/>
                <w:highlight w:val="none"/>
              </w:rPr>
              <w:t>（3）投诉事项的基本事实；</w:t>
            </w:r>
          </w:p>
          <w:p w14:paraId="0CBA71D6">
            <w:pPr>
              <w:rPr>
                <w:rFonts w:hint="eastAsia" w:ascii="宋体" w:hAnsi="宋体" w:eastAsia="宋体" w:cs="宋体"/>
                <w:sz w:val="20"/>
                <w:highlight w:val="none"/>
                <w:lang w:eastAsia="zh-CN"/>
              </w:rPr>
            </w:pPr>
            <w:r>
              <w:rPr>
                <w:rFonts w:hint="eastAsia" w:ascii="宋体" w:hAnsi="宋体" w:cs="宋体"/>
                <w:sz w:val="20"/>
                <w:highlight w:val="none"/>
              </w:rPr>
              <w:t>（4）相关请求及主张；</w:t>
            </w:r>
          </w:p>
          <w:p w14:paraId="401F2675">
            <w:pPr>
              <w:rPr>
                <w:rFonts w:hint="eastAsia" w:ascii="宋体" w:hAnsi="宋体" w:eastAsia="宋体" w:cs="宋体"/>
                <w:sz w:val="20"/>
                <w:highlight w:val="none"/>
                <w:lang w:eastAsia="zh-CN"/>
              </w:rPr>
            </w:pPr>
            <w:r>
              <w:rPr>
                <w:rFonts w:hint="eastAsia" w:ascii="宋体" w:hAnsi="宋体" w:cs="宋体"/>
                <w:sz w:val="20"/>
                <w:highlight w:val="none"/>
              </w:rPr>
              <w:t>（5）有效线索和相关证明材料。</w:t>
            </w:r>
          </w:p>
          <w:p w14:paraId="63C43D18">
            <w:pPr>
              <w:rPr>
                <w:sz w:val="20"/>
                <w:highlight w:val="yellow"/>
              </w:rPr>
            </w:pPr>
            <w:r>
              <w:rPr>
                <w:rFonts w:hint="eastAsia" w:ascii="宋体" w:hAnsi="宋体" w:cs="宋体"/>
                <w:sz w:val="20"/>
                <w:highlight w:val="none"/>
              </w:rPr>
              <w:t>投诉人是法人的，投诉书必须由其法定代表人或者授权代表签字并盖章；其他组织或者个人投诉的，投诉书必须由其主要负责人或者投诉人本人签字，并附有效身份证复印件。 投诉书有关材料是外文的，投诉人应当同时提供其中文译本。</w:t>
            </w:r>
          </w:p>
        </w:tc>
      </w:tr>
    </w:tbl>
    <w:p w14:paraId="3A1A3A56">
      <w:pPr>
        <w:spacing w:line="460" w:lineRule="exact"/>
        <w:rPr>
          <w:rFonts w:eastAsia="隶书"/>
          <w:b/>
          <w:bCs/>
          <w:sz w:val="44"/>
          <w:szCs w:val="44"/>
        </w:rPr>
      </w:pPr>
    </w:p>
    <w:sectPr>
      <w:pgSz w:w="11906" w:h="16838"/>
      <w:pgMar w:top="850" w:right="1304" w:bottom="850"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F04B3"/>
    <w:multiLevelType w:val="multilevel"/>
    <w:tmpl w:val="7E8F04B3"/>
    <w:lvl w:ilvl="0" w:tentative="0">
      <w:start w:val="0"/>
      <w:numFmt w:val="decimal"/>
      <w:lvlText w:val=""/>
      <w:lvlJc w:val="left"/>
      <w:pPr>
        <w:tabs>
          <w:tab w:val="left" w:pos="0"/>
        </w:tabs>
      </w:pPr>
      <w:rPr>
        <w:rFonts w:cs="Times New Roman"/>
      </w:rPr>
    </w:lvl>
    <w:lvl w:ilvl="1" w:tentative="0">
      <w:start w:val="0"/>
      <w:numFmt w:val="decimal"/>
      <w:pStyle w:val="2"/>
      <w:lvlText w:val=""/>
      <w:lvlJc w:val="left"/>
      <w:pPr>
        <w:tabs>
          <w:tab w:val="left" w:pos="0"/>
        </w:tabs>
      </w:pPr>
      <w:rPr>
        <w:rFonts w:cs="Times New Roman"/>
      </w:rPr>
    </w:lvl>
    <w:lvl w:ilvl="2" w:tentative="0">
      <w:start w:val="0"/>
      <w:numFmt w:val="decimal"/>
      <w:lvlText w:val=""/>
      <w:lvlJc w:val="left"/>
      <w:pPr>
        <w:tabs>
          <w:tab w:val="left" w:pos="0"/>
        </w:tabs>
      </w:pPr>
      <w:rPr>
        <w:rFonts w:cs="Times New Roman"/>
      </w:rPr>
    </w:lvl>
    <w:lvl w:ilvl="3" w:tentative="0">
      <w:start w:val="0"/>
      <w:numFmt w:val="decimal"/>
      <w:lvlText w:val=""/>
      <w:lvlJc w:val="left"/>
      <w:pPr>
        <w:tabs>
          <w:tab w:val="left" w:pos="0"/>
        </w:tabs>
      </w:pPr>
      <w:rPr>
        <w:rFonts w:cs="Times New Roman"/>
      </w:rPr>
    </w:lvl>
    <w:lvl w:ilvl="4" w:tentative="0">
      <w:start w:val="0"/>
      <w:numFmt w:val="decimal"/>
      <w:lvlText w:val=""/>
      <w:lvlJc w:val="left"/>
      <w:pPr>
        <w:tabs>
          <w:tab w:val="left" w:pos="0"/>
        </w:tabs>
      </w:pPr>
      <w:rPr>
        <w:rFonts w:cs="Times New Roman"/>
      </w:rPr>
    </w:lvl>
    <w:lvl w:ilvl="5" w:tentative="0">
      <w:start w:val="0"/>
      <w:numFmt w:val="decimal"/>
      <w:lvlText w:val=""/>
      <w:lvlJc w:val="left"/>
      <w:pPr>
        <w:tabs>
          <w:tab w:val="left" w:pos="0"/>
        </w:tabs>
      </w:pPr>
      <w:rPr>
        <w:rFonts w:cs="Times New Roman"/>
      </w:rPr>
    </w:lvl>
    <w:lvl w:ilvl="6" w:tentative="0">
      <w:start w:val="0"/>
      <w:numFmt w:val="decimal"/>
      <w:lvlText w:val=""/>
      <w:lvlJc w:val="left"/>
      <w:pPr>
        <w:tabs>
          <w:tab w:val="left" w:pos="0"/>
        </w:tabs>
      </w:pPr>
      <w:rPr>
        <w:rFonts w:cs="Times New Roman"/>
      </w:rPr>
    </w:lvl>
    <w:lvl w:ilvl="7" w:tentative="0">
      <w:start w:val="0"/>
      <w:numFmt w:val="decimal"/>
      <w:lvlText w:val=""/>
      <w:lvlJc w:val="left"/>
      <w:pPr>
        <w:tabs>
          <w:tab w:val="left" w:pos="0"/>
        </w:tabs>
      </w:pPr>
      <w:rPr>
        <w:rFonts w:cs="Times New Roman"/>
      </w:rPr>
    </w:lvl>
    <w:lvl w:ilvl="8" w:tentative="0">
      <w:start w:val="0"/>
      <w:numFmt w:val="decimal"/>
      <w:lvlText w:val=""/>
      <w:lvlJc w:val="left"/>
      <w:pPr>
        <w:tabs>
          <w:tab w:val="left"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5"/>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OTE1M2UxZmY3MTk3ZTZlZWQxNDhhNjRlMzhjM2EifQ=="/>
  </w:docVars>
  <w:rsids>
    <w:rsidRoot w:val="00172A27"/>
    <w:rsid w:val="0003462F"/>
    <w:rsid w:val="00042DB4"/>
    <w:rsid w:val="00043A7F"/>
    <w:rsid w:val="0004644D"/>
    <w:rsid w:val="00051017"/>
    <w:rsid w:val="00060D1F"/>
    <w:rsid w:val="00063D1A"/>
    <w:rsid w:val="000660BB"/>
    <w:rsid w:val="000A0397"/>
    <w:rsid w:val="000A169E"/>
    <w:rsid w:val="000A3FA3"/>
    <w:rsid w:val="0010406B"/>
    <w:rsid w:val="001118E2"/>
    <w:rsid w:val="001149F8"/>
    <w:rsid w:val="00115CBB"/>
    <w:rsid w:val="00146D1F"/>
    <w:rsid w:val="00172A27"/>
    <w:rsid w:val="00176BC2"/>
    <w:rsid w:val="00183FE9"/>
    <w:rsid w:val="001B68AC"/>
    <w:rsid w:val="001E71EB"/>
    <w:rsid w:val="0021404E"/>
    <w:rsid w:val="00225E75"/>
    <w:rsid w:val="00241541"/>
    <w:rsid w:val="002A478B"/>
    <w:rsid w:val="002C3EF2"/>
    <w:rsid w:val="003346F2"/>
    <w:rsid w:val="00353804"/>
    <w:rsid w:val="00354A54"/>
    <w:rsid w:val="00360905"/>
    <w:rsid w:val="00372447"/>
    <w:rsid w:val="003744CA"/>
    <w:rsid w:val="00376E21"/>
    <w:rsid w:val="003A4486"/>
    <w:rsid w:val="003A6FE1"/>
    <w:rsid w:val="003E7F71"/>
    <w:rsid w:val="003F14E3"/>
    <w:rsid w:val="00417147"/>
    <w:rsid w:val="0043108A"/>
    <w:rsid w:val="00443D8F"/>
    <w:rsid w:val="00484065"/>
    <w:rsid w:val="00485454"/>
    <w:rsid w:val="00486ABB"/>
    <w:rsid w:val="004969A5"/>
    <w:rsid w:val="004A0987"/>
    <w:rsid w:val="004B71F0"/>
    <w:rsid w:val="004F335F"/>
    <w:rsid w:val="0051589F"/>
    <w:rsid w:val="005238F9"/>
    <w:rsid w:val="00553DE5"/>
    <w:rsid w:val="00560E4B"/>
    <w:rsid w:val="0056128D"/>
    <w:rsid w:val="0056794A"/>
    <w:rsid w:val="00573CBF"/>
    <w:rsid w:val="00591026"/>
    <w:rsid w:val="00591FE2"/>
    <w:rsid w:val="005A1A6A"/>
    <w:rsid w:val="005A20A3"/>
    <w:rsid w:val="005B275C"/>
    <w:rsid w:val="005B5E15"/>
    <w:rsid w:val="005C0912"/>
    <w:rsid w:val="00601852"/>
    <w:rsid w:val="00630D55"/>
    <w:rsid w:val="0065711C"/>
    <w:rsid w:val="0068776A"/>
    <w:rsid w:val="006A146B"/>
    <w:rsid w:val="006A19D5"/>
    <w:rsid w:val="006B4E98"/>
    <w:rsid w:val="006B62C2"/>
    <w:rsid w:val="006D3D7E"/>
    <w:rsid w:val="006D7793"/>
    <w:rsid w:val="00701529"/>
    <w:rsid w:val="00713EDC"/>
    <w:rsid w:val="00745718"/>
    <w:rsid w:val="00776016"/>
    <w:rsid w:val="0078236C"/>
    <w:rsid w:val="007A3C40"/>
    <w:rsid w:val="007A6E0E"/>
    <w:rsid w:val="007C655F"/>
    <w:rsid w:val="007E1263"/>
    <w:rsid w:val="007E68EB"/>
    <w:rsid w:val="00801BB4"/>
    <w:rsid w:val="00803B00"/>
    <w:rsid w:val="00824B85"/>
    <w:rsid w:val="008431FF"/>
    <w:rsid w:val="00856E80"/>
    <w:rsid w:val="00876B76"/>
    <w:rsid w:val="008A66E4"/>
    <w:rsid w:val="008D7295"/>
    <w:rsid w:val="00911F96"/>
    <w:rsid w:val="00912E82"/>
    <w:rsid w:val="009130F7"/>
    <w:rsid w:val="00915661"/>
    <w:rsid w:val="00944C84"/>
    <w:rsid w:val="00951A0E"/>
    <w:rsid w:val="00952BE6"/>
    <w:rsid w:val="00955197"/>
    <w:rsid w:val="00994544"/>
    <w:rsid w:val="0099731A"/>
    <w:rsid w:val="009B2992"/>
    <w:rsid w:val="009B3A18"/>
    <w:rsid w:val="009D1A89"/>
    <w:rsid w:val="009E47EB"/>
    <w:rsid w:val="00A0156D"/>
    <w:rsid w:val="00A0720F"/>
    <w:rsid w:val="00A262B1"/>
    <w:rsid w:val="00A41CF5"/>
    <w:rsid w:val="00A50ABE"/>
    <w:rsid w:val="00A54871"/>
    <w:rsid w:val="00A7108A"/>
    <w:rsid w:val="00AA55D7"/>
    <w:rsid w:val="00AB1DC8"/>
    <w:rsid w:val="00AE04B3"/>
    <w:rsid w:val="00B049A1"/>
    <w:rsid w:val="00B0761D"/>
    <w:rsid w:val="00B22809"/>
    <w:rsid w:val="00B55EF8"/>
    <w:rsid w:val="00B6240F"/>
    <w:rsid w:val="00B82528"/>
    <w:rsid w:val="00B936CD"/>
    <w:rsid w:val="00BA3A59"/>
    <w:rsid w:val="00BD22A8"/>
    <w:rsid w:val="00BD68C9"/>
    <w:rsid w:val="00BE2687"/>
    <w:rsid w:val="00BE5964"/>
    <w:rsid w:val="00C20C33"/>
    <w:rsid w:val="00C36931"/>
    <w:rsid w:val="00C672C4"/>
    <w:rsid w:val="00C73FED"/>
    <w:rsid w:val="00C947AE"/>
    <w:rsid w:val="00C97EC6"/>
    <w:rsid w:val="00CB1134"/>
    <w:rsid w:val="00CB5D33"/>
    <w:rsid w:val="00CB744C"/>
    <w:rsid w:val="00CC6678"/>
    <w:rsid w:val="00CD70B0"/>
    <w:rsid w:val="00CE5C30"/>
    <w:rsid w:val="00CF66B5"/>
    <w:rsid w:val="00D14A5F"/>
    <w:rsid w:val="00D32771"/>
    <w:rsid w:val="00D35A97"/>
    <w:rsid w:val="00D428AF"/>
    <w:rsid w:val="00D559ED"/>
    <w:rsid w:val="00D618B7"/>
    <w:rsid w:val="00D620B3"/>
    <w:rsid w:val="00D646BA"/>
    <w:rsid w:val="00D718A7"/>
    <w:rsid w:val="00D93325"/>
    <w:rsid w:val="00DE66A3"/>
    <w:rsid w:val="00E1065C"/>
    <w:rsid w:val="00E157D0"/>
    <w:rsid w:val="00E53F45"/>
    <w:rsid w:val="00E72A5D"/>
    <w:rsid w:val="00E94949"/>
    <w:rsid w:val="00EA41F7"/>
    <w:rsid w:val="00EC02C0"/>
    <w:rsid w:val="00EC32E8"/>
    <w:rsid w:val="00EC7DF3"/>
    <w:rsid w:val="00EE3F05"/>
    <w:rsid w:val="00F3205F"/>
    <w:rsid w:val="00F327E2"/>
    <w:rsid w:val="00F55DB6"/>
    <w:rsid w:val="00F56006"/>
    <w:rsid w:val="00F65D51"/>
    <w:rsid w:val="00F7055E"/>
    <w:rsid w:val="00F72E73"/>
    <w:rsid w:val="00F827A5"/>
    <w:rsid w:val="00F9421D"/>
    <w:rsid w:val="00FD0CD3"/>
    <w:rsid w:val="00FF13BF"/>
    <w:rsid w:val="02CB448C"/>
    <w:rsid w:val="038A4DB3"/>
    <w:rsid w:val="03E32C63"/>
    <w:rsid w:val="03F4527E"/>
    <w:rsid w:val="05497B69"/>
    <w:rsid w:val="055F24D8"/>
    <w:rsid w:val="069E11EB"/>
    <w:rsid w:val="06A858EF"/>
    <w:rsid w:val="0A4E393A"/>
    <w:rsid w:val="0A6A407F"/>
    <w:rsid w:val="0BCA4F91"/>
    <w:rsid w:val="0C7B4CCC"/>
    <w:rsid w:val="0DB51C8D"/>
    <w:rsid w:val="0FE756FA"/>
    <w:rsid w:val="11047803"/>
    <w:rsid w:val="124636C7"/>
    <w:rsid w:val="129A5567"/>
    <w:rsid w:val="160C28FB"/>
    <w:rsid w:val="17171378"/>
    <w:rsid w:val="18B352B0"/>
    <w:rsid w:val="192D5062"/>
    <w:rsid w:val="196B16E7"/>
    <w:rsid w:val="1A5A58C9"/>
    <w:rsid w:val="1A9C249F"/>
    <w:rsid w:val="1EC42711"/>
    <w:rsid w:val="1FBD0D39"/>
    <w:rsid w:val="205E1FA5"/>
    <w:rsid w:val="207B3528"/>
    <w:rsid w:val="20E33EAE"/>
    <w:rsid w:val="21950A12"/>
    <w:rsid w:val="22143220"/>
    <w:rsid w:val="22B41E7B"/>
    <w:rsid w:val="25C633ED"/>
    <w:rsid w:val="26154EB4"/>
    <w:rsid w:val="26431864"/>
    <w:rsid w:val="29E9751A"/>
    <w:rsid w:val="2A2653AE"/>
    <w:rsid w:val="2A3232FB"/>
    <w:rsid w:val="2C842D93"/>
    <w:rsid w:val="2CF432B5"/>
    <w:rsid w:val="2FE15D9B"/>
    <w:rsid w:val="31A43590"/>
    <w:rsid w:val="376F3EFE"/>
    <w:rsid w:val="38857A24"/>
    <w:rsid w:val="3A9E12D7"/>
    <w:rsid w:val="3AB562F8"/>
    <w:rsid w:val="3B783AC3"/>
    <w:rsid w:val="3BAE18B7"/>
    <w:rsid w:val="3C036F65"/>
    <w:rsid w:val="3C360954"/>
    <w:rsid w:val="3E9735A0"/>
    <w:rsid w:val="3F47037C"/>
    <w:rsid w:val="3F8E7D59"/>
    <w:rsid w:val="422E312E"/>
    <w:rsid w:val="43577787"/>
    <w:rsid w:val="45B94D73"/>
    <w:rsid w:val="48EC3D42"/>
    <w:rsid w:val="491243DC"/>
    <w:rsid w:val="49706721"/>
    <w:rsid w:val="4BE62CCB"/>
    <w:rsid w:val="4CDE39A2"/>
    <w:rsid w:val="50FE2861"/>
    <w:rsid w:val="515E1F42"/>
    <w:rsid w:val="51627812"/>
    <w:rsid w:val="52A25FFB"/>
    <w:rsid w:val="54BB29E1"/>
    <w:rsid w:val="561F5B57"/>
    <w:rsid w:val="564D6A26"/>
    <w:rsid w:val="58A06159"/>
    <w:rsid w:val="59720A04"/>
    <w:rsid w:val="59C0604D"/>
    <w:rsid w:val="5A71428A"/>
    <w:rsid w:val="5C6C3317"/>
    <w:rsid w:val="616E1341"/>
    <w:rsid w:val="62805827"/>
    <w:rsid w:val="62857AB0"/>
    <w:rsid w:val="630061B9"/>
    <w:rsid w:val="63366F74"/>
    <w:rsid w:val="64A86918"/>
    <w:rsid w:val="65391840"/>
    <w:rsid w:val="6554043A"/>
    <w:rsid w:val="658F5DD7"/>
    <w:rsid w:val="66150C06"/>
    <w:rsid w:val="66C9610F"/>
    <w:rsid w:val="69195F8F"/>
    <w:rsid w:val="6B545D7B"/>
    <w:rsid w:val="6CA1081C"/>
    <w:rsid w:val="6CC825A5"/>
    <w:rsid w:val="6E241705"/>
    <w:rsid w:val="6F094457"/>
    <w:rsid w:val="6FB50AD3"/>
    <w:rsid w:val="715F301C"/>
    <w:rsid w:val="726075DA"/>
    <w:rsid w:val="73143AF6"/>
    <w:rsid w:val="7375030D"/>
    <w:rsid w:val="73DA6340"/>
    <w:rsid w:val="746D7960"/>
    <w:rsid w:val="759663CB"/>
    <w:rsid w:val="76206C56"/>
    <w:rsid w:val="76D637B8"/>
    <w:rsid w:val="77AD1D1F"/>
    <w:rsid w:val="7A1D4F4B"/>
    <w:rsid w:val="7B9A3006"/>
    <w:rsid w:val="7C28273B"/>
    <w:rsid w:val="7E05024D"/>
    <w:rsid w:val="7F63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numPr>
        <w:ilvl w:val="1"/>
        <w:numId w:val="1"/>
      </w:numPr>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ind w:firstLine="640" w:firstLineChars="200"/>
    </w:pPr>
    <w:rPr>
      <w:rFonts w:ascii="仿宋_GB2312" w:eastAsia="仿宋_GB2312"/>
      <w:sz w:val="32"/>
    </w:rPr>
  </w:style>
  <w:style w:type="paragraph" w:styleId="4">
    <w:name w:val="Plain Text"/>
    <w:basedOn w:val="1"/>
    <w:link w:val="16"/>
    <w:autoRedefine/>
    <w:qFormat/>
    <w:uiPriority w:val="0"/>
    <w:rPr>
      <w:rFonts w:ascii="宋体" w:hAnsi="Courier New"/>
      <w:szCs w:val="21"/>
    </w:rPr>
  </w:style>
  <w:style w:type="paragraph" w:styleId="5">
    <w:name w:val="Date"/>
    <w:basedOn w:val="1"/>
    <w:next w:val="1"/>
    <w:autoRedefine/>
    <w:qFormat/>
    <w:uiPriority w:val="0"/>
    <w:pPr>
      <w:ind w:left="100" w:leftChars="2500"/>
    </w:pPr>
    <w:rPr>
      <w:sz w:val="30"/>
    </w:rPr>
  </w:style>
  <w:style w:type="paragraph" w:styleId="6">
    <w:name w:val="Balloon Text"/>
    <w:basedOn w:val="1"/>
    <w:link w:val="15"/>
    <w:autoRedefine/>
    <w:semiHidden/>
    <w:unhideWhenUsed/>
    <w:qFormat/>
    <w:uiPriority w:val="99"/>
    <w:rPr>
      <w:sz w:val="18"/>
      <w:szCs w:val="18"/>
    </w:rPr>
  </w:style>
  <w:style w:type="paragraph" w:styleId="7">
    <w:name w:val="footer"/>
    <w:basedOn w:val="1"/>
    <w:next w:val="8"/>
    <w:autoRedefine/>
    <w:qFormat/>
    <w:uiPriority w:val="0"/>
    <w:pPr>
      <w:tabs>
        <w:tab w:val="center" w:pos="4153"/>
        <w:tab w:val="right" w:pos="8306"/>
      </w:tabs>
      <w:snapToGrid w:val="0"/>
      <w:jc w:val="left"/>
    </w:pPr>
    <w:rPr>
      <w:sz w:val="18"/>
      <w:szCs w:val="18"/>
    </w:rPr>
  </w:style>
  <w:style w:type="paragraph" w:customStyle="1" w:styleId="8">
    <w:name w:val="彩色列表 - 强调文字颜色 11"/>
    <w:basedOn w:val="1"/>
    <w:next w:val="1"/>
    <w:autoRedefine/>
    <w:qFormat/>
    <w:uiPriority w:val="0"/>
    <w:pPr>
      <w:ind w:firstLine="420" w:firstLineChars="200"/>
    </w:pPr>
    <w:rPr>
      <w:szCs w:val="22"/>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pPr>
    <w:rPr>
      <w:rFonts w:cs="宋体"/>
      <w:kern w:val="0"/>
      <w:szCs w:val="21"/>
    </w:rPr>
  </w:style>
  <w:style w:type="character" w:customStyle="1" w:styleId="14">
    <w:name w:val="正文文本缩进 Char"/>
    <w:basedOn w:val="12"/>
    <w:link w:val="3"/>
    <w:autoRedefine/>
    <w:qFormat/>
    <w:uiPriority w:val="0"/>
    <w:rPr>
      <w:rFonts w:ascii="仿宋_GB2312" w:eastAsia="仿宋_GB2312"/>
      <w:kern w:val="2"/>
      <w:sz w:val="32"/>
    </w:rPr>
  </w:style>
  <w:style w:type="character" w:customStyle="1" w:styleId="15">
    <w:name w:val="批注框文本 Char"/>
    <w:basedOn w:val="12"/>
    <w:link w:val="6"/>
    <w:autoRedefine/>
    <w:semiHidden/>
    <w:qFormat/>
    <w:uiPriority w:val="99"/>
    <w:rPr>
      <w:kern w:val="2"/>
      <w:sz w:val="18"/>
      <w:szCs w:val="18"/>
    </w:rPr>
  </w:style>
  <w:style w:type="character" w:customStyle="1" w:styleId="16">
    <w:name w:val="纯文本 Char"/>
    <w:basedOn w:val="12"/>
    <w:link w:val="4"/>
    <w:autoRedefine/>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787</Words>
  <Characters>844</Characters>
  <Lines>5</Lines>
  <Paragraphs>1</Paragraphs>
  <TotalTime>1</TotalTime>
  <ScaleCrop>false</ScaleCrop>
  <LinksUpToDate>false</LinksUpToDate>
  <CharactersWithSpaces>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2024-05-06T09:30:00Z</dcterms:created>
  <dc:creator>秦亚忠</dc:creator>
  <cp:lastModifiedBy>luckyovoy</cp:lastModifiedBy>
  <cp:lastPrinted>2024-07-08T06:47:00Z</cp:lastPrinted>
  <dcterms:modified xsi:type="dcterms:W3CDTF">2025-11-19T08:25:33Z</dcterms:modified>
  <dc:title>镇宁至新寨河公路勘察设计开标记录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694B64C95A4B479BAB40CDD2A807A5D0_13</vt:lpwstr>
  </property>
  <property fmtid="{D5CDD505-2E9C-101B-9397-08002B2CF9AE}" pid="4" name="KSOTemplateDocerSaveRecord">
    <vt:lpwstr>eyJoZGlkIjoiYzQ4NjMwMzk2MzAyMTRjY2Q2Y2Y0ZTI1MzRlNDI1ZTMiLCJ1c2VySWQiOiIxNzIyNTU5MTM2In0=</vt:lpwstr>
  </property>
</Properties>
</file>